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3B" w:rsidRPr="00CD7A74" w:rsidRDefault="00691A62" w:rsidP="00481AB5">
      <w:pPr>
        <w:spacing w:after="0" w:line="240" w:lineRule="auto"/>
        <w:ind w:firstLine="0"/>
      </w:pPr>
      <w:r>
        <w:rPr>
          <w:rStyle w:val="TitleChar"/>
        </w:rPr>
        <w:t>Fairbai</w:t>
      </w:r>
      <w:r w:rsidR="00FA5668">
        <w:rPr>
          <w:rStyle w:val="TitleChar"/>
        </w:rPr>
        <w:t>r</w:t>
      </w:r>
      <w:r>
        <w:rPr>
          <w:rStyle w:val="TitleChar"/>
        </w:rPr>
        <w:t>n v. Fidelity I</w:t>
      </w:r>
      <w:r w:rsidR="00A9625D">
        <w:rPr>
          <w:rStyle w:val="TitleChar"/>
        </w:rPr>
        <w:t>nvestments Charitable Gift Fund</w:t>
      </w:r>
      <w:r w:rsidR="003A7A27">
        <w:rPr>
          <w:rStyle w:val="TitleChar"/>
        </w:rPr>
        <w:t xml:space="preserve">:  </w:t>
      </w:r>
      <w:r w:rsidR="00507348" w:rsidRPr="00507348">
        <w:rPr>
          <w:b/>
        </w:rPr>
        <w:t>Managing Contributions of IPO Stock Goes Awry, but Donors have Little Recourse</w:t>
      </w:r>
    </w:p>
    <w:p w:rsidR="00481AB5" w:rsidRPr="00B15B25" w:rsidRDefault="00EF668F" w:rsidP="004F6D0E">
      <w:pPr>
        <w:spacing w:after="240" w:line="240" w:lineRule="auto"/>
        <w:ind w:firstLine="0"/>
      </w:pPr>
      <w:r>
        <w:t>By Jason Kohout</w:t>
      </w:r>
      <w:r w:rsidR="009E1DE1">
        <w:t>, Eric Maassen</w:t>
      </w:r>
      <w:r w:rsidR="001E699C">
        <w:t xml:space="preserve"> and Emmaline Jurgena</w:t>
      </w:r>
    </w:p>
    <w:p w:rsidR="003A7A27" w:rsidRDefault="00691A62" w:rsidP="00EF7E40">
      <w:r>
        <w:t xml:space="preserve">Donors </w:t>
      </w:r>
      <w:r w:rsidR="003A7A27">
        <w:t xml:space="preserve">make </w:t>
      </w:r>
      <w:r w:rsidR="001E40AB">
        <w:t xml:space="preserve">contributions </w:t>
      </w:r>
      <w:r w:rsidR="003A7A27">
        <w:t xml:space="preserve">to </w:t>
      </w:r>
      <w:r>
        <w:t>donor-advised funds (“DAFs”)</w:t>
      </w:r>
      <w:r w:rsidR="003A7A27">
        <w:t xml:space="preserve"> for</w:t>
      </w:r>
      <w:r w:rsidR="00FB1434">
        <w:t xml:space="preserve"> a variety of reasons.  One is </w:t>
      </w:r>
      <w:r w:rsidR="006232F7">
        <w:t xml:space="preserve">that DAF rules </w:t>
      </w:r>
      <w:r w:rsidR="001E40AB">
        <w:t>permit</w:t>
      </w:r>
      <w:r w:rsidR="00FB1434">
        <w:t xml:space="preserve"> the donor </w:t>
      </w:r>
      <w:r w:rsidR="001E40AB">
        <w:t xml:space="preserve">to </w:t>
      </w:r>
      <w:r w:rsidR="00FB1434">
        <w:t xml:space="preserve">make the </w:t>
      </w:r>
      <w:r w:rsidR="006232F7">
        <w:t>contribution</w:t>
      </w:r>
      <w:r w:rsidR="00FB1434">
        <w:t xml:space="preserve"> in the current year (which entitles the donor to a deduction in </w:t>
      </w:r>
      <w:r w:rsidR="001E40AB">
        <w:t>that</w:t>
      </w:r>
      <w:r w:rsidR="00FB1434">
        <w:t xml:space="preserve"> year), while retaining the ability to </w:t>
      </w:r>
      <w:r w:rsidR="001E40AB">
        <w:t>give the money</w:t>
      </w:r>
      <w:r w:rsidR="00FB1434">
        <w:t xml:space="preserve"> to charities in future years.   Donors who want to fund a large gift with a complex asset (such as real estate or closely held stock) may</w:t>
      </w:r>
      <w:r w:rsidR="003E37F0">
        <w:t xml:space="preserve"> also</w:t>
      </w:r>
      <w:r w:rsidR="00FB1434">
        <w:t xml:space="preserve"> opt to contribute the asset to a </w:t>
      </w:r>
      <w:r w:rsidR="003E37F0">
        <w:t>DAF</w:t>
      </w:r>
      <w:r w:rsidR="00FB1434">
        <w:t xml:space="preserve">, knowing the fund has </w:t>
      </w:r>
      <w:r w:rsidR="001E40AB">
        <w:t xml:space="preserve">the </w:t>
      </w:r>
      <w:r w:rsidR="00FB1434">
        <w:t xml:space="preserve">expertise to sell the asset, </w:t>
      </w:r>
      <w:r w:rsidR="001B0B5E">
        <w:t xml:space="preserve">and </w:t>
      </w:r>
      <w:r w:rsidR="001E40AB">
        <w:t>allowing</w:t>
      </w:r>
      <w:r w:rsidR="00FB1434">
        <w:t xml:space="preserve"> the </w:t>
      </w:r>
      <w:r w:rsidR="006232F7">
        <w:t>proceeds</w:t>
      </w:r>
      <w:r w:rsidR="001E40AB">
        <w:t xml:space="preserve"> to be divided into smaller gifts</w:t>
      </w:r>
      <w:r w:rsidR="00FB1434">
        <w:t xml:space="preserve"> to a variety of charities.</w:t>
      </w:r>
    </w:p>
    <w:p w:rsidR="00FB1434" w:rsidRDefault="006B7F52" w:rsidP="00B43FB1">
      <w:r>
        <w:t xml:space="preserve">As reported in </w:t>
      </w:r>
      <w:hyperlink r:id="rId8" w:history="1">
        <w:r w:rsidRPr="006B7F52">
          <w:rPr>
            <w:rStyle w:val="Hyperlink"/>
          </w:rPr>
          <w:t>The Wall Street Journal</w:t>
        </w:r>
      </w:hyperlink>
      <w:r>
        <w:t xml:space="preserve">, </w:t>
      </w:r>
      <w:r w:rsidR="00FB1434">
        <w:t>Emily and Malcolm Fairbairn us</w:t>
      </w:r>
      <w:bookmarkStart w:id="0" w:name="_GoBack"/>
      <w:bookmarkEnd w:id="0"/>
      <w:r w:rsidR="00FB1434">
        <w:t>ed Fidelity Investments Charitable Gift Fund</w:t>
      </w:r>
      <w:r w:rsidR="007B7E97">
        <w:t xml:space="preserve"> (“Fidelity Charitable”)</w:t>
      </w:r>
      <w:r w:rsidR="00FB1434">
        <w:t xml:space="preserve"> to </w:t>
      </w:r>
      <w:r w:rsidR="003E37F0">
        <w:t>accomplish both objectives</w:t>
      </w:r>
      <w:r>
        <w:t xml:space="preserve">, seeking a timely deduction with the </w:t>
      </w:r>
      <w:r w:rsidR="007B7E97">
        <w:t xml:space="preserve">additional </w:t>
      </w:r>
      <w:r>
        <w:t>goal of funding Lyme disease research and other charitable causes</w:t>
      </w:r>
      <w:r w:rsidR="00FB1434">
        <w:t xml:space="preserve">.  </w:t>
      </w:r>
      <w:r w:rsidR="001E40AB">
        <w:t>The</w:t>
      </w:r>
      <w:r w:rsidR="0059022D">
        <w:t xml:space="preserve"> Fairbair</w:t>
      </w:r>
      <w:r w:rsidR="00FB1434">
        <w:t>n</w:t>
      </w:r>
      <w:r w:rsidR="001E40AB">
        <w:t>s</w:t>
      </w:r>
      <w:r>
        <w:t xml:space="preserve">, who are </w:t>
      </w:r>
      <w:r w:rsidR="0059022D">
        <w:t>successful hedge fund managers</w:t>
      </w:r>
      <w:r>
        <w:t xml:space="preserve">, </w:t>
      </w:r>
      <w:r w:rsidR="00B43FB1">
        <w:t xml:space="preserve">needed a tax deduction in 2017 </w:t>
      </w:r>
      <w:proofErr w:type="gramStart"/>
      <w:r w:rsidR="00B43FB1">
        <w:t>because</w:t>
      </w:r>
      <w:proofErr w:type="gramEnd"/>
      <w:r w:rsidR="00B43FB1">
        <w:t xml:space="preserve"> they expected a large amount of taxable income due to </w:t>
      </w:r>
      <w:r w:rsidR="007B7E97">
        <w:t>tax law changes.  They</w:t>
      </w:r>
      <w:r w:rsidR="00B43FB1">
        <w:t xml:space="preserve"> planned to contribute shares</w:t>
      </w:r>
      <w:r w:rsidR="003E37F0">
        <w:t xml:space="preserve"> of</w:t>
      </w:r>
      <w:r w:rsidR="00B43FB1">
        <w:t xml:space="preserve"> </w:t>
      </w:r>
      <w:r w:rsidR="00FB1434">
        <w:t xml:space="preserve">Energous, a company that had recently </w:t>
      </w:r>
      <w:proofErr w:type="spellStart"/>
      <w:r w:rsidR="00FB1434">
        <w:t>IPO’</w:t>
      </w:r>
      <w:r w:rsidR="00B43FB1">
        <w:t>d</w:t>
      </w:r>
      <w:proofErr w:type="spellEnd"/>
      <w:r w:rsidR="00B43FB1">
        <w:t xml:space="preserve">.  </w:t>
      </w:r>
    </w:p>
    <w:p w:rsidR="002A0F18" w:rsidRDefault="00B43FB1" w:rsidP="00B43FB1">
      <w:r>
        <w:t xml:space="preserve">The Fairbairns worked with Fidelity </w:t>
      </w:r>
      <w:r w:rsidR="007B7E97">
        <w:t>Charitable</w:t>
      </w:r>
      <w:r>
        <w:t xml:space="preserve"> to make a transfer of nearly two million shares of stock</w:t>
      </w:r>
      <w:r w:rsidR="008E309C">
        <w:t xml:space="preserve"> at the end of 2017 (</w:t>
      </w:r>
      <w:r>
        <w:t xml:space="preserve">just in time to receive a deduction </w:t>
      </w:r>
      <w:r w:rsidR="00E74A8C">
        <w:t xml:space="preserve">for </w:t>
      </w:r>
      <w:r w:rsidR="008E309C">
        <w:t>that tax year</w:t>
      </w:r>
      <w:r>
        <w:t xml:space="preserve">).  Energous stock was thinly-traded, and </w:t>
      </w:r>
      <w:r w:rsidR="003E14D9">
        <w:t>t</w:t>
      </w:r>
      <w:r w:rsidR="007B7E97">
        <w:t>he Fairbairn’s</w:t>
      </w:r>
      <w:r>
        <w:t xml:space="preserve"> ownership stake was </w:t>
      </w:r>
      <w:r w:rsidR="00293F0B">
        <w:t xml:space="preserve">sufficiently </w:t>
      </w:r>
      <w:r>
        <w:t xml:space="preserve">substantial that </w:t>
      </w:r>
      <w:r w:rsidR="00293F0B">
        <w:t xml:space="preserve">the </w:t>
      </w:r>
      <w:r>
        <w:t xml:space="preserve">sale of </w:t>
      </w:r>
      <w:r w:rsidR="00293F0B">
        <w:t xml:space="preserve">their </w:t>
      </w:r>
      <w:r>
        <w:t xml:space="preserve">stock </w:t>
      </w:r>
      <w:r w:rsidR="001B0B5E">
        <w:t>could</w:t>
      </w:r>
      <w:r>
        <w:t xml:space="preserve"> </w:t>
      </w:r>
      <w:r w:rsidR="00293F0B">
        <w:t xml:space="preserve">depress </w:t>
      </w:r>
      <w:r>
        <w:t xml:space="preserve">the price.  </w:t>
      </w:r>
      <w:r w:rsidR="00293F0B">
        <w:t>T</w:t>
      </w:r>
      <w:r>
        <w:t>he Fairbairns and Fidelity</w:t>
      </w:r>
      <w:r w:rsidR="007B7E97">
        <w:t xml:space="preserve"> Charitable</w:t>
      </w:r>
      <w:r w:rsidR="00293F0B">
        <w:t xml:space="preserve"> discussed this possibility</w:t>
      </w:r>
      <w:r>
        <w:t xml:space="preserve">, although it’s unclear exactly what </w:t>
      </w:r>
      <w:r w:rsidR="00293F0B">
        <w:t>they</w:t>
      </w:r>
      <w:r>
        <w:t xml:space="preserve"> agreed to as to the stock sale methodology.  </w:t>
      </w:r>
      <w:r w:rsidR="003F57AF">
        <w:t>The Fairbairns allege that Fidelity C</w:t>
      </w:r>
      <w:r w:rsidR="00EB400B">
        <w:t xml:space="preserve">haritable made several promises, </w:t>
      </w:r>
      <w:r w:rsidR="00293F0B">
        <w:t xml:space="preserve">including </w:t>
      </w:r>
      <w:r w:rsidR="003F57AF">
        <w:t>that it would trade th</w:t>
      </w:r>
      <w:r w:rsidR="00EB400B">
        <w:t>e shares in small chunks and</w:t>
      </w:r>
      <w:r w:rsidR="003F57AF">
        <w:t xml:space="preserve"> that it would employ “sophisticated, state-of-the art” met</w:t>
      </w:r>
      <w:r w:rsidR="00EF7E40">
        <w:t>hods for liquidating the stock</w:t>
      </w:r>
      <w:r w:rsidR="0038095D">
        <w:t xml:space="preserve"> that would not cause t</w:t>
      </w:r>
      <w:r w:rsidR="00EB400B">
        <w:t>h</w:t>
      </w:r>
      <w:r w:rsidR="006232F7">
        <w:t xml:space="preserve">e share price to be depressed.  </w:t>
      </w:r>
      <w:r>
        <w:t>In court, Fidelity</w:t>
      </w:r>
      <w:r w:rsidR="0056509A">
        <w:t xml:space="preserve"> Charitable</w:t>
      </w:r>
      <w:r>
        <w:t xml:space="preserve"> asserted that it had only agreed to limit the sales to 10% of the daily trading volume (which, during the day in question</w:t>
      </w:r>
      <w:r w:rsidR="0056509A">
        <w:t>,</w:t>
      </w:r>
      <w:r w:rsidR="00E74A8C">
        <w:t xml:space="preserve"> was around $42 million).  This would not have</w:t>
      </w:r>
      <w:r>
        <w:t xml:space="preserve"> </w:t>
      </w:r>
      <w:r w:rsidR="00E74A8C">
        <w:t>limited Fidelity</w:t>
      </w:r>
      <w:r w:rsidR="0056509A">
        <w:t xml:space="preserve"> Charitable</w:t>
      </w:r>
      <w:r w:rsidR="00E74A8C">
        <w:t xml:space="preserve"> from s</w:t>
      </w:r>
      <w:r w:rsidR="007B7E97">
        <w:t xml:space="preserve">elling the shares upon receipt, </w:t>
      </w:r>
      <w:r w:rsidR="00E74A8C">
        <w:t>which was Fidelity</w:t>
      </w:r>
      <w:r w:rsidR="0056509A">
        <w:t xml:space="preserve"> </w:t>
      </w:r>
      <w:r w:rsidR="00C01B00">
        <w:t>Charitable’s</w:t>
      </w:r>
      <w:r w:rsidR="007B7E97">
        <w:t xml:space="preserve"> stated policy</w:t>
      </w:r>
      <w:r w:rsidR="00E74A8C">
        <w:t>.</w:t>
      </w:r>
    </w:p>
    <w:p w:rsidR="00E74A8C" w:rsidRDefault="00E74A8C" w:rsidP="00E74A8C">
      <w:r>
        <w:t xml:space="preserve">In fact, </w:t>
      </w:r>
      <w:r w:rsidR="00EF7E40">
        <w:t xml:space="preserve">Fidelity Charitable </w:t>
      </w:r>
      <w:r w:rsidR="0056509A">
        <w:t>sold</w:t>
      </w:r>
      <w:r w:rsidR="00EF7E40">
        <w:t xml:space="preserve"> the stock immediately upon receipt, in large blocks</w:t>
      </w:r>
      <w:r w:rsidR="0056509A">
        <w:t>,</w:t>
      </w:r>
      <w:r w:rsidR="00EF7E40">
        <w:t xml:space="preserve"> </w:t>
      </w:r>
      <w:r>
        <w:t xml:space="preserve">on December 28, </w:t>
      </w:r>
      <w:r w:rsidR="00EF7E40">
        <w:t xml:space="preserve">2017.  </w:t>
      </w:r>
      <w:r w:rsidR="0069522C">
        <w:t>The Fairbains alleged that</w:t>
      </w:r>
      <w:r w:rsidR="00F23850">
        <w:t xml:space="preserve"> this depressed the stock price at sale,</w:t>
      </w:r>
      <w:r w:rsidR="0069522C">
        <w:t xml:space="preserve"> not only </w:t>
      </w:r>
      <w:r w:rsidR="00F23850">
        <w:t>leaving</w:t>
      </w:r>
      <w:r w:rsidR="007E4F79">
        <w:t xml:space="preserve"> less money for charitable causes, but </w:t>
      </w:r>
      <w:r w:rsidR="0056509A">
        <w:t xml:space="preserve">also </w:t>
      </w:r>
      <w:r>
        <w:t>decreas</w:t>
      </w:r>
      <w:r w:rsidR="0056509A">
        <w:t>ing</w:t>
      </w:r>
      <w:r>
        <w:t xml:space="preserve"> </w:t>
      </w:r>
      <w:r w:rsidR="0056509A">
        <w:t xml:space="preserve">their </w:t>
      </w:r>
      <w:r>
        <w:t xml:space="preserve">charitable deduction </w:t>
      </w:r>
      <w:r w:rsidR="007E4F79">
        <w:t xml:space="preserve">(because the </w:t>
      </w:r>
      <w:r w:rsidR="007E4F79" w:rsidRPr="007E4F79">
        <w:t xml:space="preserve">size of the donor’s deduction turns on the stock's fair market value on the day the charitable </w:t>
      </w:r>
      <w:r w:rsidR="007E4F79" w:rsidRPr="007E4F79">
        <w:lastRenderedPageBreak/>
        <w:t xml:space="preserve">organization receives it, and fair market value is calculated by averaging the daily high and low prices for </w:t>
      </w:r>
      <w:r w:rsidR="007E4F79">
        <w:t>the stock).</w:t>
      </w:r>
      <w:r w:rsidR="00F23850">
        <w:rPr>
          <w:rStyle w:val="FootnoteReference"/>
        </w:rPr>
        <w:footnoteReference w:id="1"/>
      </w:r>
      <w:r w:rsidR="007E4F79">
        <w:t xml:space="preserve"> </w:t>
      </w:r>
    </w:p>
    <w:p w:rsidR="00EF7E40" w:rsidRDefault="00EF7E40" w:rsidP="00E74A8C">
      <w:r>
        <w:t>Ultimately the Fairbairns received a $52 million dollar tax deduction and an account at th</w:t>
      </w:r>
      <w:r w:rsidR="00321844">
        <w:t>e DAF worth $44 million, values that the Fairbairns alleged were far below what could have b</w:t>
      </w:r>
      <w:r w:rsidR="00090D7A">
        <w:t xml:space="preserve">een </w:t>
      </w:r>
      <w:r w:rsidR="00C01B00">
        <w:t>achieved</w:t>
      </w:r>
      <w:r w:rsidR="0056509A">
        <w:t xml:space="preserve"> </w:t>
      </w:r>
      <w:r w:rsidR="00090D7A">
        <w:t>had Fidelity</w:t>
      </w:r>
      <w:r w:rsidR="00376D87">
        <w:t xml:space="preserve"> Charitable</w:t>
      </w:r>
      <w:r w:rsidR="00090D7A">
        <w:t xml:space="preserve"> followed through on what the Fairbairns felt had been promised</w:t>
      </w:r>
      <w:r w:rsidR="007E4F79">
        <w:t>.</w:t>
      </w:r>
    </w:p>
    <w:p w:rsidR="00E74A8C" w:rsidRDefault="0038095D" w:rsidP="0059022D">
      <w:r>
        <w:t xml:space="preserve">The </w:t>
      </w:r>
      <w:r w:rsidR="008B700F">
        <w:t>court</w:t>
      </w:r>
      <w:r w:rsidR="003E14D9">
        <w:t>’s decision</w:t>
      </w:r>
      <w:r w:rsidR="008B700F">
        <w:t xml:space="preserve"> following </w:t>
      </w:r>
      <w:r w:rsidR="003E14D9">
        <w:t xml:space="preserve">a </w:t>
      </w:r>
      <w:r w:rsidR="008B700F">
        <w:t>bench trial</w:t>
      </w:r>
      <w:r>
        <w:t xml:space="preserve"> </w:t>
      </w:r>
      <w:r w:rsidR="008B700F">
        <w:t>address</w:t>
      </w:r>
      <w:r w:rsidR="003E14D9">
        <w:t>ed</w:t>
      </w:r>
      <w:r>
        <w:t xml:space="preserve"> a number of issues, primarily around whether Fidelity</w:t>
      </w:r>
      <w:r w:rsidR="00376D87">
        <w:t xml:space="preserve"> Charitable</w:t>
      </w:r>
      <w:r>
        <w:t xml:space="preserve"> had committed negligence</w:t>
      </w:r>
      <w:r w:rsidR="009E7279">
        <w:t>.  Although the Fairbairns brought a claim for breach of contract</w:t>
      </w:r>
      <w:r w:rsidR="00265039">
        <w:t xml:space="preserve">, </w:t>
      </w:r>
      <w:r w:rsidR="009E7279">
        <w:t>there was no written agreement regarding the disposition of the stock (</w:t>
      </w:r>
      <w:r w:rsidR="00F23850">
        <w:t>likely</w:t>
      </w:r>
      <w:r>
        <w:t xml:space="preserve"> in order to avoid the argument that the Fairbairns had not given up all of their interests</w:t>
      </w:r>
      <w:r w:rsidR="00265039">
        <w:t xml:space="preserve"> at the time of the transfer</w:t>
      </w:r>
      <w:r>
        <w:t xml:space="preserve"> and </w:t>
      </w:r>
      <w:r w:rsidR="00265039">
        <w:t xml:space="preserve">therefore </w:t>
      </w:r>
      <w:r>
        <w:t>were not entitled to a deduction</w:t>
      </w:r>
      <w:r w:rsidR="003E14D9">
        <w:t>)</w:t>
      </w:r>
      <w:r w:rsidR="005A38DA">
        <w:t>.</w:t>
      </w:r>
      <w:r>
        <w:t xml:space="preserve">  The court ultimately ruled</w:t>
      </w:r>
      <w:r w:rsidR="005A38DA">
        <w:t xml:space="preserve"> in favor of Fidelity Charitable.  Applying the prudent investor standard, the court held </w:t>
      </w:r>
      <w:r>
        <w:t xml:space="preserve">that Fidelity Charitable </w:t>
      </w:r>
      <w:r w:rsidR="00265039">
        <w:t xml:space="preserve">was </w:t>
      </w:r>
      <w:r>
        <w:t>not negligent</w:t>
      </w:r>
      <w:r w:rsidR="00265039">
        <w:t>,</w:t>
      </w:r>
      <w:r>
        <w:t xml:space="preserve"> because </w:t>
      </w:r>
      <w:r w:rsidR="00265039">
        <w:t xml:space="preserve">it </w:t>
      </w:r>
      <w:r>
        <w:t>had acted within its stated policy and had not</w:t>
      </w:r>
      <w:r w:rsidR="00545018">
        <w:t xml:space="preserve"> exceeded its policy of selling</w:t>
      </w:r>
      <w:r w:rsidR="00265039">
        <w:t xml:space="preserve"> up to</w:t>
      </w:r>
      <w:r w:rsidR="00545018">
        <w:t xml:space="preserve"> </w:t>
      </w:r>
      <w:r>
        <w:t xml:space="preserve">10% of the </w:t>
      </w:r>
      <w:r w:rsidR="00545018">
        <w:t>trading volume.  The court declined to hold Fidelity Charitable to the requirement that</w:t>
      </w:r>
      <w:r w:rsidR="005A38DA">
        <w:t xml:space="preserve"> it deviate from its policy of selling shares upon receipt or</w:t>
      </w:r>
      <w:r w:rsidR="00545018">
        <w:t xml:space="preserve"> use more sophisticated means to make stock sales.</w:t>
      </w:r>
    </w:p>
    <w:p w:rsidR="00545018" w:rsidRDefault="005A38DA" w:rsidP="00545018">
      <w:r>
        <w:t xml:space="preserve">One interesting question the court did not reach is </w:t>
      </w:r>
      <w:r w:rsidR="00545018">
        <w:t>whether Fidelity Charitable</w:t>
      </w:r>
      <w:r w:rsidR="00D14827">
        <w:t xml:space="preserve"> </w:t>
      </w:r>
      <w:r>
        <w:t xml:space="preserve">even </w:t>
      </w:r>
      <w:r w:rsidR="00D14827">
        <w:t>had a duty to the Fairbairns</w:t>
      </w:r>
      <w:r>
        <w:t>.  A</w:t>
      </w:r>
      <w:r w:rsidR="00D14827">
        <w:t xml:space="preserve">s </w:t>
      </w:r>
      <w:r w:rsidR="003E14D9">
        <w:t>a recipient of charitable funds</w:t>
      </w:r>
      <w:r w:rsidR="00D14827">
        <w:t>, it</w:t>
      </w:r>
      <w:r w:rsidR="00DE2D6E">
        <w:t>’</w:t>
      </w:r>
      <w:r w:rsidR="00D14827">
        <w:t xml:space="preserve">s not clear that Fidelity Charitable </w:t>
      </w:r>
      <w:r>
        <w:t>had any</w:t>
      </w:r>
      <w:r w:rsidR="00D14827">
        <w:t xml:space="preserve"> duty to the Fairbairns, although the court seemed inclined to rule that the back and forth planning for the gift did create a duty</w:t>
      </w:r>
      <w:r>
        <w:t>.</w:t>
      </w:r>
      <w:r w:rsidR="00DE2D6E">
        <w:t xml:space="preserve"> </w:t>
      </w:r>
      <w:r>
        <w:t xml:space="preserve"> That question will have to await another day, however, as the court found it unnecessary to reach it, since </w:t>
      </w:r>
      <w:r w:rsidR="00D14827">
        <w:t xml:space="preserve">it ruled </w:t>
      </w:r>
      <w:r>
        <w:t xml:space="preserve">that, in any case, </w:t>
      </w:r>
      <w:r w:rsidR="00D14827">
        <w:t>Fidelity</w:t>
      </w:r>
      <w:r w:rsidR="00376D87">
        <w:t xml:space="preserve"> Charitable</w:t>
      </w:r>
      <w:r w:rsidR="00D14827">
        <w:t xml:space="preserve"> had not been negligent.</w:t>
      </w:r>
    </w:p>
    <w:p w:rsidR="00D14827" w:rsidRPr="00D14827" w:rsidRDefault="00D14827" w:rsidP="00545018">
      <w:pPr>
        <w:rPr>
          <w:b/>
          <w:u w:val="single"/>
        </w:rPr>
      </w:pPr>
      <w:r w:rsidRPr="00D14827">
        <w:rPr>
          <w:b/>
          <w:u w:val="single"/>
        </w:rPr>
        <w:t>Lessons</w:t>
      </w:r>
    </w:p>
    <w:p w:rsidR="00372659" w:rsidRDefault="00372659" w:rsidP="00372659">
      <w:r>
        <w:t xml:space="preserve">The lessons for donors are clear:  if you have expectations as to how a closely-held asset should be disposed of, you should make sure that you’ve discussed this with the </w:t>
      </w:r>
      <w:r w:rsidR="00F312AA">
        <w:t>DAF</w:t>
      </w:r>
      <w:r>
        <w:t xml:space="preserve"> organization.  This is especially true in a sensitive situation where the method for the disposition of the asset may impact the donor’s charitable income tax deduction.  This includes thinly-traded publicly traded stock.  </w:t>
      </w:r>
      <w:r w:rsidR="00F312AA">
        <w:t>But i</w:t>
      </w:r>
      <w:r>
        <w:t xml:space="preserve">t also includes non-publicly-traded assets in which the DAF will be required </w:t>
      </w:r>
      <w:r w:rsidR="00F312AA">
        <w:t xml:space="preserve">to </w:t>
      </w:r>
      <w:r>
        <w:t xml:space="preserve">file IRS </w:t>
      </w:r>
      <w:r>
        <w:lastRenderedPageBreak/>
        <w:t xml:space="preserve">Form 8282 (the “tattle-tale” form) upon disposition of the asset – with the knowledge that the IRS may compare the donor’s claimed deduction with the amount of proceeds listed on Form 8282. </w:t>
      </w:r>
    </w:p>
    <w:p w:rsidR="00372659" w:rsidRDefault="00372659" w:rsidP="00372659">
      <w:r>
        <w:t xml:space="preserve">Donors should be aware that the legal nature of DAFs </w:t>
      </w:r>
      <w:r w:rsidR="007E78F9">
        <w:t xml:space="preserve">(accounts owned by a charitable organization over which the donor has only advisory privileges and no legal rights), means that their avenues for legal </w:t>
      </w:r>
      <w:r w:rsidR="00376D87">
        <w:t>recourse</w:t>
      </w:r>
      <w:r w:rsidR="007E78F9">
        <w:t xml:space="preserve"> </w:t>
      </w:r>
      <w:r w:rsidR="00376D87">
        <w:t>will be very limited</w:t>
      </w:r>
      <w:r w:rsidR="007E78F9">
        <w:t>.</w:t>
      </w:r>
      <w:r w:rsidR="00376D87">
        <w:t xml:space="preserve">  A donor seeking </w:t>
      </w:r>
      <w:r w:rsidR="00376D87" w:rsidRPr="00376D87">
        <w:t xml:space="preserve">to sue </w:t>
      </w:r>
      <w:r w:rsidR="00376D87">
        <w:t>a DAF</w:t>
      </w:r>
      <w:r w:rsidR="00376D87" w:rsidRPr="00376D87">
        <w:t xml:space="preserve"> for not </w:t>
      </w:r>
      <w:r w:rsidR="004820BF">
        <w:t>accomplishing</w:t>
      </w:r>
      <w:r w:rsidR="00376D87" w:rsidRPr="00376D87">
        <w:t xml:space="preserve"> their </w:t>
      </w:r>
      <w:r w:rsidR="00376D87">
        <w:t xml:space="preserve">tax-advantaged gifting strategies will </w:t>
      </w:r>
      <w:r w:rsidR="00E9301E">
        <w:t xml:space="preserve">be fighting an uphill battle.  A more practical approach would be for a donor to proactively seek out a DAF with existing policies that align with their </w:t>
      </w:r>
      <w:r w:rsidR="004820BF">
        <w:t>objectives</w:t>
      </w:r>
      <w:r w:rsidR="00E9301E">
        <w:t xml:space="preserve"> and approach to disposition. </w:t>
      </w:r>
    </w:p>
    <w:p w:rsidR="00372659" w:rsidRDefault="00372659" w:rsidP="002D27F0">
      <w:r>
        <w:t>Ther</w:t>
      </w:r>
      <w:r w:rsidR="00260AF1">
        <w:t>e are lessons for DAFs, as well</w:t>
      </w:r>
      <w:r w:rsidR="0004507E">
        <w:t>.</w:t>
      </w:r>
      <w:r w:rsidR="00260AF1">
        <w:t xml:space="preserve"> </w:t>
      </w:r>
      <w:r w:rsidR="0004507E">
        <w:t xml:space="preserve"> I</w:t>
      </w:r>
      <w:r w:rsidR="00260AF1">
        <w:t xml:space="preserve">n this case, </w:t>
      </w:r>
      <w:r w:rsidR="00260AF1" w:rsidRPr="00260AF1">
        <w:t xml:space="preserve">Fidelity Charitable prevailed, but it did not emerge unscathed.  The court’s decision </w:t>
      </w:r>
      <w:r w:rsidR="0004507E">
        <w:t>incorporates</w:t>
      </w:r>
      <w:r w:rsidR="0004507E" w:rsidRPr="00260AF1">
        <w:t xml:space="preserve"> </w:t>
      </w:r>
      <w:r w:rsidR="00260AF1" w:rsidRPr="00260AF1">
        <w:t>a number of e-mails between employees of Fidelity Charitable, some of</w:t>
      </w:r>
      <w:r w:rsidR="00E9301E">
        <w:t xml:space="preserve"> which do not cast a </w:t>
      </w:r>
      <w:r w:rsidR="0004507E">
        <w:t xml:space="preserve">flattering </w:t>
      </w:r>
      <w:r w:rsidR="00E9301E">
        <w:t xml:space="preserve">light </w:t>
      </w:r>
      <w:r w:rsidR="002A4F46">
        <w:t>on</w:t>
      </w:r>
      <w:r w:rsidR="00E9301E">
        <w:t xml:space="preserve"> the organization.  Although a DAF is legally entitled to follow its own policies (and this case reinforces that entitlement), it makes sense from a donor-relation</w:t>
      </w:r>
      <w:r w:rsidR="002A4F46">
        <w:t>s</w:t>
      </w:r>
      <w:r w:rsidR="00E9301E">
        <w:t xml:space="preserve"> standpoint</w:t>
      </w:r>
      <w:r w:rsidR="002A4F46">
        <w:t>,</w:t>
      </w:r>
      <w:r w:rsidR="00E9301E">
        <w:t xml:space="preserve"> and to avoid negative publicity</w:t>
      </w:r>
      <w:r w:rsidR="002A4F46">
        <w:t>,</w:t>
      </w:r>
      <w:r w:rsidR="00E9301E">
        <w:t xml:space="preserve"> for the fund to </w:t>
      </w:r>
      <w:r w:rsidR="004820BF">
        <w:t xml:space="preserve">work with the donor as much as is reasonably practical to achieve </w:t>
      </w:r>
      <w:r w:rsidR="0004507E">
        <w:t xml:space="preserve">the donor’s </w:t>
      </w:r>
      <w:r w:rsidR="004820BF">
        <w:t>goals</w:t>
      </w:r>
      <w:r w:rsidR="002D27F0">
        <w:t xml:space="preserve">.  </w:t>
      </w:r>
      <w:r w:rsidR="007E78F9">
        <w:t>DAFs should be r</w:t>
      </w:r>
      <w:r w:rsidR="00217E71">
        <w:t>eviewing their policies and making</w:t>
      </w:r>
      <w:r w:rsidR="007E78F9">
        <w:t xml:space="preserve"> sure that the</w:t>
      </w:r>
      <w:r w:rsidR="00E73670">
        <w:t>y</w:t>
      </w:r>
      <w:r w:rsidR="007E78F9">
        <w:t xml:space="preserve"> are up to date, and that the right areas of the organization</w:t>
      </w:r>
      <w:r w:rsidR="00E73670">
        <w:t xml:space="preserve"> know </w:t>
      </w:r>
      <w:r w:rsidR="00C01B00">
        <w:t>about</w:t>
      </w:r>
      <w:r w:rsidR="00E73670">
        <w:t xml:space="preserve"> and follow them.  T</w:t>
      </w:r>
      <w:r w:rsidR="007E78F9">
        <w:t xml:space="preserve">he specialists who are talking to the donor </w:t>
      </w:r>
      <w:r w:rsidR="00217E71">
        <w:t>should also communicat</w:t>
      </w:r>
      <w:r w:rsidR="00E73670">
        <w:t>e</w:t>
      </w:r>
      <w:r w:rsidR="007E78F9">
        <w:t xml:space="preserve"> with the </w:t>
      </w:r>
      <w:r w:rsidR="00E73670">
        <w:t xml:space="preserve">part of the </w:t>
      </w:r>
      <w:r w:rsidR="00C01B00">
        <w:t>organization</w:t>
      </w:r>
      <w:r w:rsidR="007E78F9">
        <w:t xml:space="preserve"> charged with liquidating the stock.  DAFs should </w:t>
      </w:r>
      <w:r w:rsidR="00217E71">
        <w:t>consider evaluating</w:t>
      </w:r>
      <w:r w:rsidR="007E78F9">
        <w:t xml:space="preserve"> their policies and procedures now, to be ready when the inevitable rush at the end of the year occurs</w:t>
      </w:r>
      <w:r w:rsidR="00E73670">
        <w:t>.</w:t>
      </w:r>
      <w:r w:rsidR="007E78F9">
        <w:t xml:space="preserve"> </w:t>
      </w:r>
    </w:p>
    <w:p w:rsidR="007E78F9" w:rsidRDefault="007E78F9" w:rsidP="00DE2333"/>
    <w:sectPr w:rsidR="007E78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0BB" w:rsidRDefault="003300BB" w:rsidP="00481AB5">
      <w:r>
        <w:separator/>
      </w:r>
    </w:p>
  </w:endnote>
  <w:endnote w:type="continuationSeparator" w:id="0">
    <w:p w:rsidR="003300BB" w:rsidRDefault="003300BB" w:rsidP="0048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iDocIDFieldcae00ef3-f8c0-4e89-97bf-fe71"/>
  <w:p w:rsidR="00F51412" w:rsidRDefault="00F51412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4842-6220-7199.4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iDocIDField91b0dfb2-9387-488b-b0e4-6628"/>
  <w:p w:rsidR="00F51412" w:rsidRDefault="00F51412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4842-6220-7199.4</w:t>
    </w:r>
    <w:r>
      <w:fldChar w:fldCharType="end"/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_iDocIDField84ffaaaa-0fe3-4bc8-b146-d53f"/>
  <w:p w:rsidR="00F51412" w:rsidRDefault="00F51412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4842-6220-7199.4</w:t>
    </w:r>
    <w: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0BB" w:rsidRDefault="003300BB" w:rsidP="00481AB5">
      <w:r>
        <w:separator/>
      </w:r>
    </w:p>
  </w:footnote>
  <w:footnote w:type="continuationSeparator" w:id="0">
    <w:p w:rsidR="003300BB" w:rsidRDefault="003300BB" w:rsidP="00481AB5">
      <w:r>
        <w:continuationSeparator/>
      </w:r>
    </w:p>
  </w:footnote>
  <w:footnote w:id="1">
    <w:p w:rsidR="00F23850" w:rsidRDefault="00F238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23850">
        <w:t>IRS Publication 561.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8B" w:rsidRDefault="00620D8B" w:rsidP="00481A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8B" w:rsidRDefault="00620D8B" w:rsidP="00481A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8B" w:rsidRDefault="00620D8B" w:rsidP="00481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3A09"/>
    <w:multiLevelType w:val="hybridMultilevel"/>
    <w:tmpl w:val="6D7E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0E00"/>
    <w:multiLevelType w:val="hybridMultilevel"/>
    <w:tmpl w:val="8FD21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5221F"/>
    <w:multiLevelType w:val="hybridMultilevel"/>
    <w:tmpl w:val="502291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847D11"/>
    <w:multiLevelType w:val="hybridMultilevel"/>
    <w:tmpl w:val="AC909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271CD8"/>
    <w:multiLevelType w:val="hybridMultilevel"/>
    <w:tmpl w:val="6BAE7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66366"/>
    <w:multiLevelType w:val="hybridMultilevel"/>
    <w:tmpl w:val="F3883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1B0598"/>
    <w:multiLevelType w:val="hybridMultilevel"/>
    <w:tmpl w:val="D36A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F33DB"/>
    <w:multiLevelType w:val="hybridMultilevel"/>
    <w:tmpl w:val="15523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8B"/>
    <w:rsid w:val="000152FB"/>
    <w:rsid w:val="000244CE"/>
    <w:rsid w:val="0002676B"/>
    <w:rsid w:val="0002730F"/>
    <w:rsid w:val="000350DF"/>
    <w:rsid w:val="00040508"/>
    <w:rsid w:val="0004507E"/>
    <w:rsid w:val="00045155"/>
    <w:rsid w:val="00055831"/>
    <w:rsid w:val="00056895"/>
    <w:rsid w:val="00057702"/>
    <w:rsid w:val="0007213F"/>
    <w:rsid w:val="00072DE0"/>
    <w:rsid w:val="00085FB3"/>
    <w:rsid w:val="00090D7A"/>
    <w:rsid w:val="00094CB1"/>
    <w:rsid w:val="000B24A1"/>
    <w:rsid w:val="000C0954"/>
    <w:rsid w:val="000C3157"/>
    <w:rsid w:val="000D7037"/>
    <w:rsid w:val="000E5206"/>
    <w:rsid w:val="000F7F07"/>
    <w:rsid w:val="001035B7"/>
    <w:rsid w:val="00104EA9"/>
    <w:rsid w:val="00117BAB"/>
    <w:rsid w:val="00126FB4"/>
    <w:rsid w:val="001407C4"/>
    <w:rsid w:val="0014383B"/>
    <w:rsid w:val="00164759"/>
    <w:rsid w:val="001707B5"/>
    <w:rsid w:val="001A128F"/>
    <w:rsid w:val="001A6F5F"/>
    <w:rsid w:val="001B00C8"/>
    <w:rsid w:val="001B0B5E"/>
    <w:rsid w:val="001B6874"/>
    <w:rsid w:val="001C4D73"/>
    <w:rsid w:val="001C7A50"/>
    <w:rsid w:val="001D0AA7"/>
    <w:rsid w:val="001E40AB"/>
    <w:rsid w:val="001E699C"/>
    <w:rsid w:val="001F0172"/>
    <w:rsid w:val="0020266E"/>
    <w:rsid w:val="00205A64"/>
    <w:rsid w:val="00211E58"/>
    <w:rsid w:val="00211F70"/>
    <w:rsid w:val="00217E71"/>
    <w:rsid w:val="00226950"/>
    <w:rsid w:val="0023001E"/>
    <w:rsid w:val="0024435E"/>
    <w:rsid w:val="002553FC"/>
    <w:rsid w:val="00260AF1"/>
    <w:rsid w:val="00265039"/>
    <w:rsid w:val="002819ED"/>
    <w:rsid w:val="0029040E"/>
    <w:rsid w:val="00293F0B"/>
    <w:rsid w:val="0029505A"/>
    <w:rsid w:val="0029653E"/>
    <w:rsid w:val="002A0F18"/>
    <w:rsid w:val="002A4F46"/>
    <w:rsid w:val="002B33BB"/>
    <w:rsid w:val="002B6A86"/>
    <w:rsid w:val="002C0573"/>
    <w:rsid w:val="002D27F0"/>
    <w:rsid w:val="002E2208"/>
    <w:rsid w:val="0031366E"/>
    <w:rsid w:val="00321844"/>
    <w:rsid w:val="003300BB"/>
    <w:rsid w:val="00342999"/>
    <w:rsid w:val="00350C6A"/>
    <w:rsid w:val="00355FC9"/>
    <w:rsid w:val="003677C3"/>
    <w:rsid w:val="00372659"/>
    <w:rsid w:val="00374FEB"/>
    <w:rsid w:val="00376D87"/>
    <w:rsid w:val="0038095D"/>
    <w:rsid w:val="00384D95"/>
    <w:rsid w:val="00386D1C"/>
    <w:rsid w:val="003A7A27"/>
    <w:rsid w:val="003C1F3C"/>
    <w:rsid w:val="003E14D9"/>
    <w:rsid w:val="003E37F0"/>
    <w:rsid w:val="003E6B18"/>
    <w:rsid w:val="003F147B"/>
    <w:rsid w:val="003F57AF"/>
    <w:rsid w:val="003F6373"/>
    <w:rsid w:val="0041764C"/>
    <w:rsid w:val="00425C8C"/>
    <w:rsid w:val="00442BA0"/>
    <w:rsid w:val="00443F82"/>
    <w:rsid w:val="00445238"/>
    <w:rsid w:val="00447A4B"/>
    <w:rsid w:val="0045393D"/>
    <w:rsid w:val="0045622A"/>
    <w:rsid w:val="00461EA2"/>
    <w:rsid w:val="00464541"/>
    <w:rsid w:val="00481AB5"/>
    <w:rsid w:val="004820BF"/>
    <w:rsid w:val="00483EFD"/>
    <w:rsid w:val="00485784"/>
    <w:rsid w:val="00491168"/>
    <w:rsid w:val="00493BF5"/>
    <w:rsid w:val="004A4E38"/>
    <w:rsid w:val="004A7A0C"/>
    <w:rsid w:val="004B2973"/>
    <w:rsid w:val="004B6B31"/>
    <w:rsid w:val="004C7DE0"/>
    <w:rsid w:val="004E0A7E"/>
    <w:rsid w:val="004E1DED"/>
    <w:rsid w:val="004E3FA9"/>
    <w:rsid w:val="004F3F3B"/>
    <w:rsid w:val="004F44F2"/>
    <w:rsid w:val="004F6D0E"/>
    <w:rsid w:val="00500B53"/>
    <w:rsid w:val="005028BD"/>
    <w:rsid w:val="00504DD0"/>
    <w:rsid w:val="00507348"/>
    <w:rsid w:val="00513D4D"/>
    <w:rsid w:val="005266A7"/>
    <w:rsid w:val="00545018"/>
    <w:rsid w:val="005605C9"/>
    <w:rsid w:val="005632A7"/>
    <w:rsid w:val="0056490F"/>
    <w:rsid w:val="0056509A"/>
    <w:rsid w:val="005747EB"/>
    <w:rsid w:val="0059022D"/>
    <w:rsid w:val="005934DA"/>
    <w:rsid w:val="00595386"/>
    <w:rsid w:val="005A3080"/>
    <w:rsid w:val="005A38DA"/>
    <w:rsid w:val="005A6F6F"/>
    <w:rsid w:val="005D39BA"/>
    <w:rsid w:val="005F0A98"/>
    <w:rsid w:val="005F2C12"/>
    <w:rsid w:val="005F590A"/>
    <w:rsid w:val="005F791C"/>
    <w:rsid w:val="00602492"/>
    <w:rsid w:val="00612CAE"/>
    <w:rsid w:val="00620D8B"/>
    <w:rsid w:val="006232F7"/>
    <w:rsid w:val="00623C39"/>
    <w:rsid w:val="00624E98"/>
    <w:rsid w:val="00626E97"/>
    <w:rsid w:val="00643223"/>
    <w:rsid w:val="00647403"/>
    <w:rsid w:val="00655527"/>
    <w:rsid w:val="00660AF2"/>
    <w:rsid w:val="006844E6"/>
    <w:rsid w:val="00687EE4"/>
    <w:rsid w:val="00691A62"/>
    <w:rsid w:val="0069522C"/>
    <w:rsid w:val="006B7F52"/>
    <w:rsid w:val="006C4DA0"/>
    <w:rsid w:val="006D4904"/>
    <w:rsid w:val="006D5E1D"/>
    <w:rsid w:val="006E2D9A"/>
    <w:rsid w:val="006E5CC5"/>
    <w:rsid w:val="006E614F"/>
    <w:rsid w:val="00700710"/>
    <w:rsid w:val="00705D27"/>
    <w:rsid w:val="00706721"/>
    <w:rsid w:val="007124B0"/>
    <w:rsid w:val="0072518B"/>
    <w:rsid w:val="00751102"/>
    <w:rsid w:val="0075378A"/>
    <w:rsid w:val="00766766"/>
    <w:rsid w:val="0077148E"/>
    <w:rsid w:val="00771764"/>
    <w:rsid w:val="00785F34"/>
    <w:rsid w:val="007B0EB3"/>
    <w:rsid w:val="007B7BFF"/>
    <w:rsid w:val="007B7E97"/>
    <w:rsid w:val="007D3E41"/>
    <w:rsid w:val="007D4474"/>
    <w:rsid w:val="007E2085"/>
    <w:rsid w:val="007E3184"/>
    <w:rsid w:val="007E4F79"/>
    <w:rsid w:val="007E78F9"/>
    <w:rsid w:val="008002AD"/>
    <w:rsid w:val="008108EC"/>
    <w:rsid w:val="00845F43"/>
    <w:rsid w:val="008520B7"/>
    <w:rsid w:val="00860561"/>
    <w:rsid w:val="008B700F"/>
    <w:rsid w:val="008D04D0"/>
    <w:rsid w:val="008D5986"/>
    <w:rsid w:val="008E309C"/>
    <w:rsid w:val="008F43C3"/>
    <w:rsid w:val="009002E7"/>
    <w:rsid w:val="009022F9"/>
    <w:rsid w:val="00917FB4"/>
    <w:rsid w:val="00921185"/>
    <w:rsid w:val="00947B52"/>
    <w:rsid w:val="00953ACD"/>
    <w:rsid w:val="00953EDB"/>
    <w:rsid w:val="00957672"/>
    <w:rsid w:val="00960003"/>
    <w:rsid w:val="00994F8A"/>
    <w:rsid w:val="009A79B9"/>
    <w:rsid w:val="009E1DE1"/>
    <w:rsid w:val="009E7279"/>
    <w:rsid w:val="009F3BCA"/>
    <w:rsid w:val="009F6848"/>
    <w:rsid w:val="00A36D7E"/>
    <w:rsid w:val="00A37299"/>
    <w:rsid w:val="00A625F0"/>
    <w:rsid w:val="00A9625D"/>
    <w:rsid w:val="00AA1480"/>
    <w:rsid w:val="00AA1A7D"/>
    <w:rsid w:val="00AA7330"/>
    <w:rsid w:val="00AB1EB1"/>
    <w:rsid w:val="00AB36FA"/>
    <w:rsid w:val="00AB38BE"/>
    <w:rsid w:val="00AF0416"/>
    <w:rsid w:val="00AF14C2"/>
    <w:rsid w:val="00B058FA"/>
    <w:rsid w:val="00B059C3"/>
    <w:rsid w:val="00B15B25"/>
    <w:rsid w:val="00B241BA"/>
    <w:rsid w:val="00B42070"/>
    <w:rsid w:val="00B43FB1"/>
    <w:rsid w:val="00B568BF"/>
    <w:rsid w:val="00B93054"/>
    <w:rsid w:val="00BB1CA5"/>
    <w:rsid w:val="00BB540D"/>
    <w:rsid w:val="00BC15D8"/>
    <w:rsid w:val="00BE063B"/>
    <w:rsid w:val="00BE5CB2"/>
    <w:rsid w:val="00BF540B"/>
    <w:rsid w:val="00C01B00"/>
    <w:rsid w:val="00C0373C"/>
    <w:rsid w:val="00C072E9"/>
    <w:rsid w:val="00C30519"/>
    <w:rsid w:val="00C63404"/>
    <w:rsid w:val="00C73B9B"/>
    <w:rsid w:val="00C77C6F"/>
    <w:rsid w:val="00C81217"/>
    <w:rsid w:val="00C9165D"/>
    <w:rsid w:val="00C95C12"/>
    <w:rsid w:val="00C9627A"/>
    <w:rsid w:val="00CA21D6"/>
    <w:rsid w:val="00CA406A"/>
    <w:rsid w:val="00CB6852"/>
    <w:rsid w:val="00CD30D2"/>
    <w:rsid w:val="00CD7A74"/>
    <w:rsid w:val="00CF6C45"/>
    <w:rsid w:val="00D14827"/>
    <w:rsid w:val="00D21469"/>
    <w:rsid w:val="00D374FF"/>
    <w:rsid w:val="00D4366F"/>
    <w:rsid w:val="00D436CB"/>
    <w:rsid w:val="00D66E19"/>
    <w:rsid w:val="00D729AB"/>
    <w:rsid w:val="00D84E84"/>
    <w:rsid w:val="00D92425"/>
    <w:rsid w:val="00DD291C"/>
    <w:rsid w:val="00DE2333"/>
    <w:rsid w:val="00DE2D6E"/>
    <w:rsid w:val="00DE74C4"/>
    <w:rsid w:val="00DF4401"/>
    <w:rsid w:val="00DF5E74"/>
    <w:rsid w:val="00E10476"/>
    <w:rsid w:val="00E30011"/>
    <w:rsid w:val="00E33CF6"/>
    <w:rsid w:val="00E40E51"/>
    <w:rsid w:val="00E4461A"/>
    <w:rsid w:val="00E51A78"/>
    <w:rsid w:val="00E6443A"/>
    <w:rsid w:val="00E73670"/>
    <w:rsid w:val="00E74A8C"/>
    <w:rsid w:val="00E9301E"/>
    <w:rsid w:val="00E96E51"/>
    <w:rsid w:val="00EB400B"/>
    <w:rsid w:val="00EC167F"/>
    <w:rsid w:val="00ED4398"/>
    <w:rsid w:val="00ED688A"/>
    <w:rsid w:val="00EE4FBF"/>
    <w:rsid w:val="00EE7F2D"/>
    <w:rsid w:val="00EF4B2C"/>
    <w:rsid w:val="00EF668F"/>
    <w:rsid w:val="00EF7E40"/>
    <w:rsid w:val="00F005CF"/>
    <w:rsid w:val="00F01864"/>
    <w:rsid w:val="00F0471E"/>
    <w:rsid w:val="00F055D7"/>
    <w:rsid w:val="00F23850"/>
    <w:rsid w:val="00F312AA"/>
    <w:rsid w:val="00F4664E"/>
    <w:rsid w:val="00F51412"/>
    <w:rsid w:val="00F536FE"/>
    <w:rsid w:val="00F71DEC"/>
    <w:rsid w:val="00F740A3"/>
    <w:rsid w:val="00F7612D"/>
    <w:rsid w:val="00FA5668"/>
    <w:rsid w:val="00FB1434"/>
    <w:rsid w:val="00FC532C"/>
    <w:rsid w:val="00FD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DD923-5CE9-4FAF-B487-CDF8B155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AB5"/>
    <w:pPr>
      <w:spacing w:after="120" w:line="360" w:lineRule="auto"/>
      <w:ind w:firstLine="720"/>
    </w:pPr>
    <w:rPr>
      <w:rFonts w:ascii="Times New Roman" w:hAnsi="Times New Roman" w:cs="Times New Roman"/>
      <w:sz w:val="23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65D"/>
    <w:pPr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Footer"/>
    <w:next w:val="Footer"/>
    <w:link w:val="DocIDChar"/>
    <w:rsid w:val="00620D8B"/>
    <w:pPr>
      <w:tabs>
        <w:tab w:val="clear" w:pos="4680"/>
        <w:tab w:val="clear" w:pos="9360"/>
      </w:tabs>
      <w:ind w:left="-720"/>
    </w:pPr>
    <w:rPr>
      <w:rFonts w:ascii="Arial" w:eastAsia="Times New Roman" w:hAnsi="Arial" w:cs="Arial"/>
      <w:sz w:val="16"/>
      <w:szCs w:val="20"/>
    </w:rPr>
  </w:style>
  <w:style w:type="character" w:customStyle="1" w:styleId="DocIDChar">
    <w:name w:val="DocID Char"/>
    <w:basedOn w:val="DefaultParagraphFont"/>
    <w:link w:val="DocID"/>
    <w:rsid w:val="00620D8B"/>
    <w:rPr>
      <w:rFonts w:ascii="Arial" w:eastAsia="Times New Roman" w:hAnsi="Arial" w:cs="Arial"/>
      <w:sz w:val="16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20D8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0D8B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0D8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0D8B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6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8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88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88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8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8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2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DE0"/>
    <w:rPr>
      <w:color w:val="0563C1" w:themeColor="hyperlink"/>
      <w:u w:val="single"/>
    </w:rPr>
  </w:style>
  <w:style w:type="paragraph" w:customStyle="1" w:styleId="Heading">
    <w:name w:val="Heading"/>
    <w:basedOn w:val="Normal"/>
    <w:rsid w:val="00C9165D"/>
    <w:rPr>
      <w:rFonts w:eastAsia="Times New Roman"/>
      <w:szCs w:val="20"/>
    </w:rPr>
  </w:style>
  <w:style w:type="character" w:styleId="FootnoteReference">
    <w:name w:val="footnote reference"/>
    <w:semiHidden/>
    <w:rsid w:val="00C9165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9165D"/>
    <w:rPr>
      <w:rFonts w:eastAsia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9165D"/>
    <w:rPr>
      <w:rFonts w:ascii="Times New Roman" w:eastAsia="Times New Roman" w:hAnsi="Times New Roman" w:cs="Times New Roman"/>
      <w:sz w:val="24"/>
      <w:szCs w:val="20"/>
    </w:rPr>
  </w:style>
  <w:style w:type="character" w:customStyle="1" w:styleId="st1">
    <w:name w:val="st1"/>
    <w:basedOn w:val="DefaultParagraphFont"/>
    <w:rsid w:val="00C9165D"/>
  </w:style>
  <w:style w:type="character" w:customStyle="1" w:styleId="Heading1Char">
    <w:name w:val="Heading 1 Char"/>
    <w:basedOn w:val="DefaultParagraphFont"/>
    <w:link w:val="Heading1"/>
    <w:uiPriority w:val="9"/>
    <w:rsid w:val="00C9165D"/>
    <w:rPr>
      <w:rFonts w:ascii="Times New Roman" w:hAnsi="Times New Roman"/>
      <w:b/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7A74"/>
    <w:pPr>
      <w:ind w:firstLine="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D7A74"/>
    <w:rPr>
      <w:rFonts w:ascii="Times New Roman" w:hAnsi="Times New Roman" w:cs="Times New Roman"/>
      <w:b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j.com/articles/fidelitys-charitable-arm-wins-in-hedge-fund-founders-lawsuit-1161439148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1799B-E88E-4A8D-8B4F-9B57BC10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Foley &amp; Lardner LLP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Jurgena, Emmaline S.</dc:creator>
  <cp:keywords/>
  <dc:description/>
  <cp:lastModifiedBy>Jurgena, Emmaline S.</cp:lastModifiedBy>
  <cp:revision>5</cp:revision>
  <dcterms:created xsi:type="dcterms:W3CDTF">2021-03-22T16:30:00Z</dcterms:created>
  <dcterms:modified xsi:type="dcterms:W3CDTF">2021-03-23T12:50:00Z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4842-6220-7199.4</vt:lpwstr>
  </property>
  <property fmtid="{D5CDD505-2E9C-101B-9397-08002B2CF9AE}" pid="3" name="CUS_DocIDChunk0">
    <vt:lpwstr>4842-6220-7199.4</vt:lpwstr>
  </property>
  <property fmtid="{D5CDD505-2E9C-101B-9397-08002B2CF9AE}" pid="4" name="CUS_DocIDActiveBits">
    <vt:lpwstr>98304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